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7E1" w:rsidRDefault="005677E1" w:rsidP="005677E1">
      <w:pPr>
        <w:shd w:val="clear" w:color="auto" w:fill="FFFFFF"/>
        <w:spacing w:after="0" w:line="360" w:lineRule="auto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fldChar w:fldCharType="begin"/>
      </w:r>
      <w:r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instrText xml:space="preserve"> HYPERLINK "https://opiniao.estadao.com.br/noticias/notas-e-informacoes,a-caminho-do-megaleilao,70003046939" </w:instrText>
      </w:r>
      <w:r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r>
      <w:r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fldChar w:fldCharType="separate"/>
      </w:r>
      <w:r w:rsidRPr="005677E1">
        <w:rPr>
          <w:rStyle w:val="Hyperlink"/>
          <w:rFonts w:ascii="Verdana" w:eastAsia="Times New Roman" w:hAnsi="Verdana" w:cs="Helvetica"/>
          <w:sz w:val="20"/>
          <w:szCs w:val="20"/>
          <w:lang w:eastAsia="pt-BR"/>
        </w:rPr>
        <w:t>Estadão.com.br - Últimas notícias</w:t>
      </w:r>
      <w:r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fldChar w:fldCharType="end"/>
      </w:r>
      <w:r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 | 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12/10/2019</w:t>
      </w:r>
    </w:p>
    <w:p w:rsidR="005677E1" w:rsidRDefault="005677E1" w:rsidP="005677E1">
      <w:pPr>
        <w:shd w:val="clear" w:color="auto" w:fill="FFFFFF"/>
        <w:spacing w:after="0" w:line="360" w:lineRule="auto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</w:p>
    <w:p w:rsidR="005677E1" w:rsidRPr="005677E1" w:rsidRDefault="005677E1" w:rsidP="005677E1">
      <w:pPr>
        <w:shd w:val="clear" w:color="auto" w:fill="FFFFFF"/>
        <w:spacing w:after="0" w:line="360" w:lineRule="auto"/>
        <w:jc w:val="center"/>
        <w:outlineLvl w:val="2"/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pt-BR"/>
        </w:rPr>
      </w:pPr>
      <w:bookmarkStart w:id="0" w:name="_GoBack"/>
      <w:r w:rsidRPr="005677E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pt-BR"/>
        </w:rPr>
        <w:t xml:space="preserve">A caminho do </w:t>
      </w:r>
      <w:proofErr w:type="spellStart"/>
      <w:r w:rsidRPr="005677E1">
        <w:rPr>
          <w:rFonts w:ascii="Verdana" w:eastAsia="Times New Roman" w:hAnsi="Verdana" w:cs="Helvetica"/>
          <w:b/>
          <w:bCs/>
          <w:color w:val="333333"/>
          <w:sz w:val="20"/>
          <w:szCs w:val="20"/>
          <w:lang w:eastAsia="pt-BR"/>
        </w:rPr>
        <w:t>megaleilão</w:t>
      </w:r>
      <w:proofErr w:type="spellEnd"/>
    </w:p>
    <w:bookmarkEnd w:id="0"/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O dinheiro arrecadado irá para o Tesouro, o que contribuirá para aliviar as pressões imediatas sobre a política fiscal do governo do presidente Jair Bolsonaro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Com a arrecadação de R$ 8,915 bilhões, recorde em leilões dessa natureza, o ágio total de 323% sobre o valor mínimo esperado pela 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Agência Nacional do Petróleo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, Gás e 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Biocombustíveis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 (BNP) e a participação de grandes companhias mundiais (além da presença inédita de uma companhia da Malásia), a 16.ª Rodada de Licitações de áreas de produção de 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petróleo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, realizada na quinta-feira passada, teve resultados acima dos esperados. "O bônus é o maior do regime de concessão e superou todas as nossas expectativas", reconheceu o ministro de Minas e Energia, Bento Albuquerque. "Sempre achamos que seria um leilão exitoso, mas superou as expectativas", completou o diretor-geral da 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ANP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,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Decio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Oddone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O dinheiro arrecadado irá para o Tesouro, o que contribuirá para aliviar as pressões imediatas sobre a política fiscal do governo do presidente Jair Bolsonaro. Mas, para a economia brasileira, a contribuição poderá ter efeito mais duradouro. "A entrada de novos atores como a Petronas (a empresa malasiana citada acima) mostra que o ambiente no Brasil está atrativo", avaliou o secretário de Exploração e Produção do 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Instituto Brasileiro de Petróleo, Gás e Biocombustíveis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 (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IBP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),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Antonio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 Guimarães, que lembrou ainda a forte participação da Chevron no leilão.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Tudo isso compõe um quadro com indicações animadoras para o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megaleilão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, desta vez de áreas do </w:t>
      </w:r>
      <w:proofErr w:type="spellStart"/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pré</w:t>
      </w:r>
      <w:proofErr w:type="spellEnd"/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-sal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 (a rodada de quinta-feira passada só tinha blocos do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pós-sal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), marcado para os dias 6 e 7 de novembro. No dia 6 de novembro, será realizada a Rodada de Licitações do Excedente da Cessão Onerosa. Esse excedente é formado pelas reservas já descobertas pela Petrobrás que excedem o volume de 5 bilhões de barris de óleo equivalente contratado pela estatal em 2010 pelo regime de cessão onerosa, por meio da qual a União cede o direito de exploração de um recurso natural de sua propriedade em troca de uma remuneração preestabelecida. A 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ANP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 considera que este será o maior leilão da história. Os investimentos necessários para essas áreas estão estimados em mais de R$ 1 trilhão.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No dia 7 de novembro, será realizada a 6.ª Rodada de Partilha de Produção. O leilão ofertará 5 blocos distribuídos pelas Bacias de Santos e de Campos.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São oportunidades que devem interessar a empresas com perfis diferentes, o que pode acirrar a disputa. A expectativa do governo, referendada por estimativas do setor privado, é de que, num intervalo de menos de um mês, as licitações de áreas de exploração e produção de petróleo e gás gerem receita de R$ 237 bilhões para o Tesouro e para a Petrobrás. Desse total, como mostrou reportagem do Estado, R$ 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lastRenderedPageBreak/>
        <w:t>120 bilhões devem ser pagos à Petrobrás por investimentos feitos nas áreas que vão a leilão, de acordo com projeção do </w:t>
      </w:r>
      <w:r w:rsidRPr="005677E1">
        <w:rPr>
          <w:rFonts w:ascii="Verdana" w:eastAsia="Times New Roman" w:hAnsi="Verdana" w:cs="Helvetica"/>
          <w:b/>
          <w:bCs/>
          <w:color w:val="000080"/>
          <w:sz w:val="20"/>
          <w:szCs w:val="20"/>
          <w:lang w:eastAsia="pt-BR"/>
        </w:rPr>
        <w:t>IBP</w:t>
      </w: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. Os restantes R$ 117 bilhões virão de bônus de assinatura que as empresas vencedoras das áreas do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pré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-sal vendidas sob o regime de partilha deverão pagar para obter o contrato. Nesse regime, a União é recompensada com uma parte da produção de petróleo e gás.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Ao longo do tempo (até 2030), mais cerca de R$ 300 bilhões engordarão os cofres da União, dos Estados e dos municípios, a título de compensação pela exploração de recursos naturais, na forma de royalties, </w:t>
      </w:r>
      <w:proofErr w:type="gram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e também</w:t>
      </w:r>
      <w:proofErr w:type="gram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 como Imposto de Renda.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Na 16.ª Rodada de Licitações, na quinta-feira passada, venceram a disputa os participantes que ofereceram os maiores bônus. Eles operarão no regime de concessão, diferente do regime utilizado na exploração do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pré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-sal, no qual a disputa consiste no volume de petróleo que será destinado ao governo.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A necessidade de aceleração das licitações de áreas promissoras, como o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pré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-sal, foi mostrada pelo senador José Serra (PSDB-SP) em artigo publicado no Estado. Serra argumenta que a demanda de petróleo cresce menos do que a economia mundial. "O petróleo é uma riqueza cujos dias - ou décadas - estão contados", por isso, "quanto mais demorarmos, menos bônus extrairemos da riqueza-petróleo", advertiu o senador, que apresentou projeto destinado a acelerar os leilões do </w:t>
      </w:r>
      <w:proofErr w:type="spell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pré</w:t>
      </w:r>
      <w:proofErr w:type="spellEnd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-sal.</w:t>
      </w:r>
    </w:p>
    <w:p w:rsidR="005677E1" w:rsidRPr="005677E1" w:rsidRDefault="005677E1" w:rsidP="005677E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</w:pPr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 xml:space="preserve">Notas &amp; Informações, O Estado de </w:t>
      </w:r>
      <w:proofErr w:type="spellStart"/>
      <w:proofErr w:type="gramStart"/>
      <w:r w:rsidRPr="005677E1">
        <w:rPr>
          <w:rFonts w:ascii="Verdana" w:eastAsia="Times New Roman" w:hAnsi="Verdana" w:cs="Helvetica"/>
          <w:color w:val="333333"/>
          <w:sz w:val="20"/>
          <w:szCs w:val="20"/>
          <w:lang w:eastAsia="pt-BR"/>
        </w:rPr>
        <w:t>S.Paulo</w:t>
      </w:r>
      <w:proofErr w:type="spellEnd"/>
      <w:proofErr w:type="gramEnd"/>
    </w:p>
    <w:p w:rsidR="005677E1" w:rsidRPr="005677E1" w:rsidRDefault="005677E1" w:rsidP="005677E1">
      <w:pPr>
        <w:spacing w:after="0" w:line="360" w:lineRule="auto"/>
        <w:rPr>
          <w:rFonts w:ascii="Verdana" w:hAnsi="Verdana"/>
          <w:sz w:val="20"/>
          <w:szCs w:val="20"/>
        </w:rPr>
      </w:pPr>
    </w:p>
    <w:sectPr w:rsidR="005677E1" w:rsidRPr="00567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E1"/>
    <w:rsid w:val="0056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6AC5"/>
  <w15:chartTrackingRefBased/>
  <w15:docId w15:val="{CA94DB17-81D3-4BD3-B61B-E69B978D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67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677E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6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677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67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7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0722">
              <w:marLeft w:val="15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682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Souza</dc:creator>
  <cp:keywords/>
  <dc:description/>
  <cp:lastModifiedBy>Carolina Souza</cp:lastModifiedBy>
  <cp:revision>1</cp:revision>
  <dcterms:created xsi:type="dcterms:W3CDTF">2019-10-16T19:38:00Z</dcterms:created>
  <dcterms:modified xsi:type="dcterms:W3CDTF">2019-10-16T21:51:00Z</dcterms:modified>
</cp:coreProperties>
</file>